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1E" w:rsidRPr="00787BF1" w:rsidRDefault="006A471E" w:rsidP="006A471E">
      <w:pPr>
        <w:pStyle w:val="Heading2"/>
      </w:pPr>
      <w:bookmarkStart w:id="0" w:name="_Toc155342851"/>
      <w:bookmarkStart w:id="1" w:name="_GoBack"/>
      <w:r w:rsidRPr="00787BF1">
        <w:rPr>
          <w:b/>
          <w:sz w:val="24"/>
        </w:rPr>
        <w:t>173. LÃNH HẢI</w:t>
      </w:r>
      <w:bookmarkEnd w:id="1"/>
      <w:r w:rsidRPr="00787BF1">
        <w:t xml:space="preserve">, </w:t>
      </w:r>
      <w:proofErr w:type="spellStart"/>
      <w:r w:rsidRPr="00787BF1">
        <w:t>vùng</w:t>
      </w:r>
      <w:proofErr w:type="spellEnd"/>
      <w:r w:rsidRPr="00787BF1">
        <w:t xml:space="preserve"> </w:t>
      </w:r>
      <w:proofErr w:type="spellStart"/>
      <w:r w:rsidRPr="00787BF1">
        <w:t>biển</w:t>
      </w:r>
      <w:proofErr w:type="spellEnd"/>
      <w:r w:rsidRPr="00787BF1">
        <w:t xml:space="preserve"> </w:t>
      </w:r>
      <w:proofErr w:type="spellStart"/>
      <w:r w:rsidRPr="00787BF1">
        <w:t>nằm</w:t>
      </w:r>
      <w:proofErr w:type="spellEnd"/>
      <w:r w:rsidRPr="00787BF1">
        <w:t xml:space="preserve"> </w:t>
      </w:r>
      <w:proofErr w:type="spellStart"/>
      <w:r w:rsidRPr="00787BF1">
        <w:t>ngoài</w:t>
      </w:r>
      <w:proofErr w:type="spellEnd"/>
      <w:r w:rsidRPr="00787BF1">
        <w:t xml:space="preserve"> </w:t>
      </w:r>
      <w:proofErr w:type="spellStart"/>
      <w:r w:rsidRPr="00787BF1">
        <w:t>đường</w:t>
      </w:r>
      <w:proofErr w:type="spellEnd"/>
      <w:r w:rsidRPr="00787BF1">
        <w:t xml:space="preserve"> </w:t>
      </w:r>
      <w:proofErr w:type="spellStart"/>
      <w:r w:rsidRPr="00787BF1">
        <w:t>cơ</w:t>
      </w:r>
      <w:proofErr w:type="spellEnd"/>
      <w:r w:rsidRPr="00787BF1">
        <w:t xml:space="preserve"> </w:t>
      </w:r>
      <w:proofErr w:type="spellStart"/>
      <w:r w:rsidRPr="00787BF1">
        <w:t>sở</w:t>
      </w:r>
      <w:proofErr w:type="spellEnd"/>
      <w:r w:rsidRPr="00787BF1">
        <w:t xml:space="preserve">, </w:t>
      </w:r>
      <w:proofErr w:type="spellStart"/>
      <w:r w:rsidRPr="00787BF1">
        <w:t>có</w:t>
      </w:r>
      <w:proofErr w:type="spellEnd"/>
      <w:r w:rsidRPr="00787BF1">
        <w:t xml:space="preserve"> </w:t>
      </w:r>
      <w:proofErr w:type="spellStart"/>
      <w:r w:rsidRPr="00787BF1">
        <w:t>chiều</w:t>
      </w:r>
      <w:proofErr w:type="spellEnd"/>
      <w:r w:rsidRPr="00787BF1">
        <w:t xml:space="preserve"> </w:t>
      </w:r>
      <w:proofErr w:type="spellStart"/>
      <w:r w:rsidRPr="00787BF1">
        <w:t>rộng</w:t>
      </w:r>
      <w:proofErr w:type="spellEnd"/>
      <w:r w:rsidRPr="00787BF1">
        <w:t xml:space="preserve"> </w:t>
      </w:r>
      <w:proofErr w:type="spellStart"/>
      <w:r w:rsidRPr="00787BF1">
        <w:t>tối</w:t>
      </w:r>
      <w:proofErr w:type="spellEnd"/>
      <w:r w:rsidRPr="00787BF1">
        <w:t xml:space="preserve"> </w:t>
      </w:r>
      <w:proofErr w:type="spellStart"/>
      <w:r w:rsidRPr="00787BF1">
        <w:t>đa</w:t>
      </w:r>
      <w:proofErr w:type="spellEnd"/>
      <w:r w:rsidRPr="00787BF1">
        <w:t xml:space="preserve"> 12 </w:t>
      </w:r>
      <w:proofErr w:type="spellStart"/>
      <w:r w:rsidRPr="00787BF1">
        <w:t>hải</w:t>
      </w:r>
      <w:proofErr w:type="spellEnd"/>
      <w:r w:rsidRPr="00787BF1">
        <w:t xml:space="preserve"> </w:t>
      </w:r>
      <w:proofErr w:type="spellStart"/>
      <w:r w:rsidRPr="00787BF1">
        <w:t>lý</w:t>
      </w:r>
      <w:proofErr w:type="spellEnd"/>
      <w:r w:rsidRPr="00787BF1">
        <w:t>.</w:t>
      </w:r>
      <w:bookmarkEnd w:id="0"/>
      <w:r w:rsidRPr="00787BF1">
        <w:t xml:space="preserve"> </w:t>
      </w:r>
    </w:p>
    <w:p w:rsidR="006A471E" w:rsidRPr="00787BF1" w:rsidRDefault="006A471E" w:rsidP="006A471E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Theo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</w:t>
      </w:r>
      <w:r>
        <w:rPr>
          <w:szCs w:val="28"/>
        </w:rPr>
        <w:t>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1982, </w:t>
      </w:r>
      <w:proofErr w:type="spellStart"/>
      <w:r w:rsidRPr="00787BF1">
        <w:rPr>
          <w:szCs w:val="28"/>
        </w:rPr>
        <w:t>đường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dùng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rộng</w:t>
      </w:r>
      <w:proofErr w:type="spellEnd"/>
      <w:r w:rsidRPr="00787BF1">
        <w:rPr>
          <w:szCs w:val="28"/>
        </w:rPr>
        <w:t xml:space="preserve"> LH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bờ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thẳng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xt.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i/>
          <w:szCs w:val="28"/>
        </w:rPr>
        <w:t>Đường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cơ</w:t>
      </w:r>
      <w:proofErr w:type="spellEnd"/>
      <w:r w:rsidRPr="00787BF1">
        <w:rPr>
          <w:i/>
          <w:szCs w:val="28"/>
        </w:rPr>
        <w:t xml:space="preserve"> </w:t>
      </w:r>
      <w:proofErr w:type="spellStart"/>
      <w:r w:rsidRPr="00787BF1">
        <w:rPr>
          <w:i/>
          <w:szCs w:val="28"/>
        </w:rPr>
        <w:t>sở</w:t>
      </w:r>
      <w:proofErr w:type="spellEnd"/>
      <w:r w:rsidRPr="00787BF1">
        <w:rPr>
          <w:szCs w:val="28"/>
        </w:rPr>
        <w:t xml:space="preserve">).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thẳng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: Ở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bờ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khuỷu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bị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khoét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sâu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lồi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lõm</w:t>
      </w:r>
      <w:proofErr w:type="spellEnd"/>
      <w:r w:rsidRPr="00787BF1">
        <w:rPr>
          <w:szCs w:val="28"/>
        </w:rPr>
        <w:t xml:space="preserve">; ở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chuỗi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chạy</w:t>
      </w:r>
      <w:proofErr w:type="spellEnd"/>
      <w:r w:rsidRPr="00787BF1">
        <w:rPr>
          <w:szCs w:val="28"/>
        </w:rPr>
        <w:t xml:space="preserve"> qua; ở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ổn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bờ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châu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thổ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Nhưng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thẳng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hướng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bờ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bờ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Ranh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LH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chạy</w:t>
      </w:r>
      <w:proofErr w:type="spellEnd"/>
      <w:r w:rsidRPr="00787BF1">
        <w:rPr>
          <w:szCs w:val="28"/>
        </w:rPr>
        <w:t xml:space="preserve"> song </w:t>
      </w:r>
      <w:proofErr w:type="spellStart"/>
      <w:r w:rsidRPr="00787BF1">
        <w:rPr>
          <w:szCs w:val="28"/>
        </w:rPr>
        <w:t>song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khoảng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12 </w:t>
      </w:r>
      <w:proofErr w:type="spellStart"/>
      <w:r w:rsidRPr="00787BF1">
        <w:rPr>
          <w:szCs w:val="28"/>
        </w:rPr>
        <w:t>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Ranh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LH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coi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. </w:t>
      </w:r>
    </w:p>
    <w:p w:rsidR="006A471E" w:rsidRPr="00787BF1" w:rsidRDefault="006A471E" w:rsidP="006A471E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ven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LH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mình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đáy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lòng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dưới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đáy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vùng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phía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lãnh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LH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tuyệt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mặt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LH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tuyệt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thủy</w:t>
      </w:r>
      <w:proofErr w:type="spellEnd"/>
      <w:r w:rsidRPr="00787BF1">
        <w:rPr>
          <w:szCs w:val="28"/>
        </w:rPr>
        <w:t xml:space="preserve">. Ở LH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ven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tàu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lại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lưu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tuyến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hải</w:t>
      </w:r>
      <w:proofErr w:type="spellEnd"/>
      <w:r w:rsidRPr="00787BF1">
        <w:rPr>
          <w:szCs w:val="28"/>
        </w:rPr>
        <w:t xml:space="preserve"> do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ven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lãnh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lãnh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thủy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lãnh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chóng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dừng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thả</w:t>
      </w:r>
      <w:proofErr w:type="spellEnd"/>
      <w:r w:rsidRPr="00787BF1">
        <w:rPr>
          <w:szCs w:val="28"/>
        </w:rPr>
        <w:t xml:space="preserve"> neo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gặp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hàng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kháng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mắc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cứu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giúp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tàu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thuyền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tiện</w:t>
      </w:r>
      <w:proofErr w:type="spellEnd"/>
      <w:r w:rsidRPr="00787BF1">
        <w:rPr>
          <w:szCs w:val="28"/>
        </w:rPr>
        <w:t xml:space="preserve"> bay </w:t>
      </w:r>
      <w:proofErr w:type="spellStart"/>
      <w:r w:rsidRPr="00787BF1">
        <w:rPr>
          <w:szCs w:val="28"/>
        </w:rPr>
        <w:t>đang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lâm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mắc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nạn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Tàu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qua LH. </w:t>
      </w:r>
      <w:proofErr w:type="spellStart"/>
      <w:r w:rsidRPr="00787BF1">
        <w:rPr>
          <w:szCs w:val="28"/>
        </w:rPr>
        <w:t>Tàu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dừng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lại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mọi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vũ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che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bạt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sẵn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sàng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đấu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Tàu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ngầm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trạng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nổi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cờ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tịch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ven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LH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yêu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ven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yêu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chiếc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khỏi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lãnh</w:t>
      </w:r>
      <w:proofErr w:type="spellEnd"/>
      <w:r w:rsidRPr="00787BF1">
        <w:rPr>
          <w:szCs w:val="28"/>
        </w:rPr>
        <w:t xml:space="preserve"> LH </w:t>
      </w:r>
      <w:proofErr w:type="spellStart"/>
      <w:r w:rsidRPr="00787BF1">
        <w:rPr>
          <w:szCs w:val="28"/>
        </w:rPr>
        <w:t>ngay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tức</w:t>
      </w:r>
      <w:proofErr w:type="spellEnd"/>
      <w:r w:rsidRPr="00787BF1">
        <w:rPr>
          <w:szCs w:val="28"/>
        </w:rPr>
        <w:t xml:space="preserve">. </w:t>
      </w:r>
    </w:p>
    <w:p w:rsidR="006A471E" w:rsidRPr="00787BF1" w:rsidRDefault="006A471E" w:rsidP="006A471E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2012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, LH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vùng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rộng</w:t>
      </w:r>
      <w:proofErr w:type="spellEnd"/>
      <w:r w:rsidRPr="00787BF1">
        <w:rPr>
          <w:szCs w:val="28"/>
        </w:rPr>
        <w:t xml:space="preserve"> 12 </w:t>
      </w:r>
      <w:proofErr w:type="spellStart"/>
      <w:r w:rsidRPr="00787BF1">
        <w:rPr>
          <w:szCs w:val="28"/>
        </w:rPr>
        <w:t>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phía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Ranh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LH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Nam. LH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sau</w:t>
      </w:r>
      <w:proofErr w:type="spellEnd"/>
      <w:r w:rsidRPr="00787BF1">
        <w:rPr>
          <w:szCs w:val="28"/>
        </w:rPr>
        <w:t xml:space="preserve">: 1)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đầy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vẹn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LH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vùng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trời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đáy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lòng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dưới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đáy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LH </w:t>
      </w:r>
      <w:proofErr w:type="spellStart"/>
      <w:r w:rsidRPr="00787BF1">
        <w:rPr>
          <w:szCs w:val="28"/>
        </w:rPr>
        <w:t>phù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Liên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1982. 2) </w:t>
      </w:r>
      <w:proofErr w:type="spellStart"/>
      <w:r w:rsidRPr="00787BF1">
        <w:rPr>
          <w:szCs w:val="28"/>
        </w:rPr>
        <w:t>Tàu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hưởng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LH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Nam.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LH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 </w:t>
      </w:r>
      <w:proofErr w:type="spellStart"/>
      <w:r w:rsidRPr="00787BF1">
        <w:rPr>
          <w:szCs w:val="28"/>
        </w:rPr>
        <w:t>cần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Nam. 3)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</w:t>
      </w:r>
      <w:proofErr w:type="spellEnd"/>
      <w:r w:rsidRPr="00787BF1">
        <w:rPr>
          <w:szCs w:val="28"/>
        </w:rPr>
        <w:t xml:space="preserve"> qua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trọng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bình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hòa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x</w:t>
      </w:r>
      <w:r w:rsidRPr="00787BF1">
        <w:rPr>
          <w:szCs w:val="28"/>
        </w:rPr>
        <w:t>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. 4)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tiện</w:t>
      </w:r>
      <w:proofErr w:type="spellEnd"/>
      <w:r w:rsidRPr="00787BF1">
        <w:rPr>
          <w:szCs w:val="28"/>
        </w:rPr>
        <w:t xml:space="preserve"> bay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vùng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trời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r w:rsidRPr="00787BF1">
        <w:rPr>
          <w:szCs w:val="28"/>
        </w:rPr>
        <w:lastRenderedPageBreak/>
        <w:t xml:space="preserve">LH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Nam, </w:t>
      </w:r>
      <w:proofErr w:type="spellStart"/>
      <w:r w:rsidRPr="00787BF1">
        <w:rPr>
          <w:szCs w:val="28"/>
        </w:rPr>
        <w:t>trừ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hợp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ý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hoà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x</w:t>
      </w:r>
      <w:r w:rsidRPr="00787BF1">
        <w:rPr>
          <w:szCs w:val="28"/>
        </w:rPr>
        <w:t>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. 5)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mọi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loại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cổ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LH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Nam. </w:t>
      </w:r>
    </w:p>
    <w:p w:rsidR="006A471E" w:rsidRPr="00787BF1" w:rsidRDefault="006A471E" w:rsidP="006A471E">
      <w:pPr>
        <w:widowControl w:val="0"/>
        <w:adjustRightInd w:val="0"/>
        <w:snapToGrid w:val="0"/>
        <w:spacing w:before="120"/>
        <w:ind w:firstLine="284"/>
        <w:jc w:val="right"/>
        <w:rPr>
          <w:b/>
          <w:sz w:val="22"/>
        </w:rPr>
      </w:pPr>
      <w:r w:rsidRPr="00787BF1">
        <w:rPr>
          <w:b/>
          <w:sz w:val="22"/>
        </w:rPr>
        <w:t>ĐINH NGỌC VƯỢNG</w:t>
      </w:r>
    </w:p>
    <w:p w:rsidR="006A471E" w:rsidRPr="00787BF1" w:rsidRDefault="006A471E" w:rsidP="006A471E">
      <w:pPr>
        <w:widowControl w:val="0"/>
        <w:adjustRightInd w:val="0"/>
        <w:snapToGrid w:val="0"/>
        <w:spacing w:before="120"/>
        <w:ind w:firstLine="284"/>
        <w:jc w:val="both"/>
        <w:rPr>
          <w:b/>
          <w:sz w:val="24"/>
          <w:szCs w:val="24"/>
        </w:rPr>
      </w:pPr>
      <w:proofErr w:type="spellStart"/>
      <w:r w:rsidRPr="00787BF1">
        <w:rPr>
          <w:b/>
          <w:sz w:val="24"/>
          <w:szCs w:val="24"/>
        </w:rPr>
        <w:t>Tài</w:t>
      </w:r>
      <w:proofErr w:type="spellEnd"/>
      <w:r w:rsidRPr="00787BF1">
        <w:rPr>
          <w:b/>
          <w:sz w:val="24"/>
          <w:szCs w:val="24"/>
        </w:rPr>
        <w:t xml:space="preserve"> </w:t>
      </w:r>
      <w:proofErr w:type="spellStart"/>
      <w:r w:rsidRPr="00787BF1">
        <w:rPr>
          <w:b/>
          <w:sz w:val="24"/>
          <w:szCs w:val="24"/>
        </w:rPr>
        <w:t>liệu</w:t>
      </w:r>
      <w:proofErr w:type="spellEnd"/>
      <w:r w:rsidRPr="00787BF1">
        <w:rPr>
          <w:b/>
          <w:sz w:val="24"/>
          <w:szCs w:val="24"/>
        </w:rPr>
        <w:t xml:space="preserve"> </w:t>
      </w:r>
      <w:proofErr w:type="spellStart"/>
      <w:r w:rsidRPr="00787BF1">
        <w:rPr>
          <w:b/>
          <w:sz w:val="24"/>
          <w:szCs w:val="24"/>
        </w:rPr>
        <w:t>tham</w:t>
      </w:r>
      <w:proofErr w:type="spellEnd"/>
      <w:r w:rsidRPr="00787BF1">
        <w:rPr>
          <w:b/>
          <w:sz w:val="24"/>
          <w:szCs w:val="24"/>
        </w:rPr>
        <w:t xml:space="preserve"> </w:t>
      </w:r>
      <w:proofErr w:type="spellStart"/>
      <w:r w:rsidRPr="00787BF1">
        <w:rPr>
          <w:b/>
          <w:sz w:val="24"/>
          <w:szCs w:val="24"/>
        </w:rPr>
        <w:t>khảo</w:t>
      </w:r>
      <w:proofErr w:type="spellEnd"/>
      <w:r w:rsidRPr="00787BF1">
        <w:rPr>
          <w:b/>
          <w:sz w:val="24"/>
          <w:szCs w:val="24"/>
        </w:rPr>
        <w:t xml:space="preserve">: </w:t>
      </w:r>
    </w:p>
    <w:p w:rsidR="006A471E" w:rsidRPr="00787BF1" w:rsidRDefault="006A471E" w:rsidP="006A471E">
      <w:pPr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quốc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tế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Nxb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2017.</w:t>
      </w:r>
    </w:p>
    <w:p w:rsidR="006A471E" w:rsidRPr="00787BF1" w:rsidRDefault="006A471E" w:rsidP="006A471E">
      <w:pPr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Viện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nước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Pháp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Những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vấn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đề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cơ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bản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về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quốc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tế</w:t>
      </w:r>
      <w:proofErr w:type="spellEnd"/>
      <w:r w:rsidRPr="00787BF1">
        <w:rPr>
          <w:i/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Chính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trị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1995.</w:t>
      </w:r>
    </w:p>
    <w:p w:rsidR="006A471E" w:rsidRPr="00787BF1" w:rsidRDefault="006A471E" w:rsidP="006A471E">
      <w:pPr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Biển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Việt</w:t>
      </w:r>
      <w:proofErr w:type="spellEnd"/>
      <w:r w:rsidRPr="00787BF1">
        <w:rPr>
          <w:i/>
          <w:sz w:val="24"/>
          <w:szCs w:val="24"/>
        </w:rPr>
        <w:t xml:space="preserve"> Nam </w:t>
      </w:r>
      <w:proofErr w:type="spellStart"/>
      <w:r w:rsidRPr="00787BF1">
        <w:rPr>
          <w:sz w:val="24"/>
          <w:szCs w:val="24"/>
        </w:rPr>
        <w:t>năm</w:t>
      </w:r>
      <w:proofErr w:type="spellEnd"/>
      <w:r w:rsidRPr="00787BF1">
        <w:rPr>
          <w:sz w:val="24"/>
          <w:szCs w:val="24"/>
        </w:rPr>
        <w:t xml:space="preserve"> 2012</w:t>
      </w:r>
      <w:r w:rsidRPr="00787BF1">
        <w:rPr>
          <w:i/>
          <w:sz w:val="24"/>
          <w:szCs w:val="24"/>
        </w:rPr>
        <w:t>.</w:t>
      </w:r>
    </w:p>
    <w:p w:rsidR="006A471E" w:rsidRPr="00787BF1" w:rsidRDefault="006A471E" w:rsidP="006A471E">
      <w:pPr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i/>
          <w:sz w:val="24"/>
          <w:szCs w:val="24"/>
        </w:rPr>
        <w:t>Территориа́льное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мо́ре</w:t>
      </w:r>
      <w:proofErr w:type="spellEnd"/>
      <w:r w:rsidRPr="00787BF1">
        <w:rPr>
          <w:i/>
          <w:sz w:val="24"/>
          <w:szCs w:val="24"/>
        </w:rPr>
        <w:t xml:space="preserve"> (</w:t>
      </w:r>
      <w:proofErr w:type="spellStart"/>
      <w:r w:rsidRPr="00787BF1">
        <w:rPr>
          <w:i/>
          <w:sz w:val="24"/>
          <w:szCs w:val="24"/>
        </w:rPr>
        <w:t>во́ды</w:t>
      </w:r>
      <w:proofErr w:type="spellEnd"/>
      <w:r w:rsidRPr="00787BF1">
        <w:rPr>
          <w:i/>
          <w:sz w:val="24"/>
          <w:szCs w:val="24"/>
        </w:rPr>
        <w:t xml:space="preserve">), </w:t>
      </w:r>
      <w:proofErr w:type="spellStart"/>
      <w:r w:rsidRPr="00787BF1">
        <w:rPr>
          <w:sz w:val="24"/>
          <w:szCs w:val="24"/>
        </w:rPr>
        <w:t>Больщая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Росийская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Эциклопедия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Издательства</w:t>
      </w:r>
      <w:proofErr w:type="spellEnd"/>
      <w:r w:rsidRPr="00787BF1">
        <w:rPr>
          <w:sz w:val="24"/>
          <w:szCs w:val="24"/>
        </w:rPr>
        <w:t xml:space="preserve"> "</w:t>
      </w:r>
      <w:proofErr w:type="spellStart"/>
      <w:r w:rsidRPr="00787BF1">
        <w:rPr>
          <w:sz w:val="24"/>
          <w:szCs w:val="24"/>
        </w:rPr>
        <w:t>Больщая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Росийская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эциклопедия</w:t>
      </w:r>
      <w:proofErr w:type="spellEnd"/>
      <w:r w:rsidRPr="00787BF1">
        <w:rPr>
          <w:sz w:val="24"/>
          <w:szCs w:val="24"/>
        </w:rPr>
        <w:t xml:space="preserve">", </w:t>
      </w:r>
      <w:proofErr w:type="spellStart"/>
      <w:r w:rsidRPr="00787BF1">
        <w:rPr>
          <w:sz w:val="24"/>
          <w:szCs w:val="24"/>
        </w:rPr>
        <w:t>Москва</w:t>
      </w:r>
      <w:proofErr w:type="spellEnd"/>
      <w:r w:rsidRPr="00787BF1">
        <w:rPr>
          <w:sz w:val="24"/>
          <w:szCs w:val="24"/>
        </w:rPr>
        <w:t>, 2004-2017.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60BEB"/>
    <w:multiLevelType w:val="hybridMultilevel"/>
    <w:tmpl w:val="65F86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1E"/>
    <w:rsid w:val="001324E1"/>
    <w:rsid w:val="005630BE"/>
    <w:rsid w:val="00666C5C"/>
    <w:rsid w:val="006A471E"/>
    <w:rsid w:val="00A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AA869-0363-495E-B7A2-D15DCBB2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71E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A471E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6A471E"/>
    <w:rPr>
      <w:rFonts w:eastAsia="Calibri"/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2025-12-15T03:51:00Z</dcterms:created>
  <dcterms:modified xsi:type="dcterms:W3CDTF">2025-12-15T03:51:00Z</dcterms:modified>
</cp:coreProperties>
</file>